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b/>
          <w:b/>
        </w:rPr>
      </w:pPr>
      <w:r>
        <w:rPr>
          <w:b/>
        </w:rPr>
        <w:t>ПЕРЕЧЕНЬ АКТОВ, СОДЕРЖАЩИХ ОБЯЗАТЕЛЬНЫЕ ТРЕБОВАНИЯ, СОБЛЮДЕНИЕ КОТОРЫХ ОЦЕНИВАЕТСЯ ПРИ ПРОВЕДЕНИИ МЕРОПРИЯТИЙ ПО КОНТРОЛЮ ПРИ ОСУЩЕСТВЛЕНИИ ФЕДЕРАЛЬНОГО ГОСУДАРСТВЕННОГО КОНТРОЛЯ (НАДЗОРА) ЗА ОБЕСПЕЧЕНИЕ БЕЗОПАСНОСТИ ОБЪЕКТОВ ТОПЛИВНО-ЭНЕРГЕТИЧЕСКОГО КОМПЛЕКСА</w:t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tbl>
      <w:tblPr>
        <w:tblW w:w="10916" w:type="dxa"/>
        <w:jc w:val="left"/>
        <w:tblInd w:w="-76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noVBand="1" w:noHBand="0" w:lastColumn="0" w:firstColumn="1" w:lastRow="0" w:firstRow="1"/>
      </w:tblPr>
      <w:tblGrid>
        <w:gridCol w:w="418"/>
        <w:gridCol w:w="10497"/>
      </w:tblGrid>
      <w:tr>
        <w:trPr/>
        <w:tc>
          <w:tcPr>
            <w:tcW w:w="10915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ФЕДЕРАЛЬНЫЕ ЗАКОНЫ РОССИЙСКОЙ ФЕДЕРАЦИИ</w:t>
            </w:r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21 июля 2011 г. № 256-ФЗ «О безопасности объектов топливно-энергетического комплекса»</w:t>
            </w:r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 3 июля 2016 г. № 226-ФЗ «О войсках национальной гвардии Российской Федерации»</w:t>
            </w:r>
          </w:p>
        </w:tc>
      </w:tr>
      <w:tr>
        <w:trPr/>
        <w:tc>
          <w:tcPr>
            <w:tcW w:w="10915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УКАЗЫ ПРЕЗИДЕНТА РОССИЙСКОЙ ФЕДЕРАЦИИ, ПОСТАНОВЛЕНИЯ И РАСПОРЯЖЕНИЯ ПРАВИТЕЛЬСТВА РОССИЙСКОЙ ФЕДЕРАЦИИ</w:t>
            </w:r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Правительства Российской Федерации от 5 мая 2012 г. № 458 дсп «Правила по обеспечению безопасности и антитеррористической защищенности объектов топливно-энергетического комплекса»</w:t>
            </w:r>
          </w:p>
        </w:tc>
      </w:tr>
      <w:tr>
        <w:trPr>
          <w:trHeight w:val="23" w:hRule="atLeast"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auto"/>
                <w:sz w:val="20"/>
                <w:szCs w:val="20"/>
                <w:u w:val="none"/>
              </w:rPr>
            </w:pPr>
            <w:hyperlink r:id="rId2">
              <w:r>
                <w:rPr>
                  <w:color w:val="auto"/>
                  <w:sz w:val="20"/>
                  <w:szCs w:val="20"/>
                  <w:u w:val="none"/>
                </w:rPr>
                <w:t>Постановление Правительства Российской Федерации от 5 мая 2012 г. № 45</w:t>
              </w:r>
            </w:hyperlink>
            <w:r>
              <w:rPr>
                <w:rStyle w:val="Style14"/>
                <w:color w:val="auto"/>
                <w:sz w:val="20"/>
                <w:szCs w:val="20"/>
                <w:u w:val="none"/>
              </w:rPr>
              <w:t>9 «Положение об исходных данных для проведения категорирования объекта топливно-энергетического комплекса, порядке его проведения и критериях категорирования»</w:t>
            </w:r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Style w:val="Style14"/>
                <w:color w:val="auto"/>
                <w:sz w:val="20"/>
                <w:szCs w:val="20"/>
                <w:u w:val="none"/>
              </w:rPr>
            </w:pPr>
            <w:r>
              <w:rPr>
                <w:rStyle w:val="Style14"/>
                <w:color w:val="auto"/>
                <w:sz w:val="20"/>
                <w:szCs w:val="20"/>
                <w:u w:val="none"/>
              </w:rPr>
              <w:t>Постановление Правительства Российской Федерации от 5 мая 2012 г. № 460 «Правила по актуализации паспорта безопасности объекта топливно-энергетического комплекса»</w:t>
            </w:r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Style w:val="Style14"/>
                <w:color w:val="auto"/>
                <w:sz w:val="20"/>
                <w:szCs w:val="20"/>
                <w:u w:val="none"/>
              </w:rPr>
            </w:pPr>
            <w:r>
              <w:rPr>
                <w:rStyle w:val="Style14"/>
                <w:color w:val="auto"/>
                <w:sz w:val="20"/>
                <w:szCs w:val="20"/>
                <w:u w:val="none"/>
              </w:rPr>
              <w:t>Постановление Правительства Российской Федерации от 2 октября 2013 г. № 861 «Правила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комплекса»</w:t>
            </w:r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auto"/>
                <w:sz w:val="20"/>
                <w:szCs w:val="20"/>
                <w:u w:val="none"/>
              </w:rPr>
            </w:pPr>
            <w:hyperlink r:id="rId3">
              <w:r>
                <w:rPr>
                  <w:color w:val="auto"/>
                  <w:sz w:val="20"/>
                  <w:szCs w:val="20"/>
                  <w:u w:val="none"/>
                </w:rPr>
                <w:t>Постановление Правительства Российской Федерации от 18 ноября 2013 г. № 1033 «Порядок установления охранных зон объектов по производству электрической энергии и особых условий использования земельных участков, расположенных в границах таких зон»</w:t>
              </w:r>
            </w:hyperlink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Style w:val="Style14"/>
                <w:color w:val="auto"/>
                <w:sz w:val="20"/>
                <w:szCs w:val="20"/>
                <w:u w:val="none"/>
              </w:rPr>
            </w:pPr>
            <w:r>
              <w:rPr>
                <w:rStyle w:val="Style14"/>
                <w:color w:val="auto"/>
                <w:sz w:val="20"/>
                <w:szCs w:val="20"/>
                <w:u w:val="none"/>
              </w:rPr>
              <w:t>Постановление Правительства Российской Федерации от 19 сентября 2015 г. № 993 дсп «Требования к обеспечению безопасности линейных объектов топливно-энергетического комплекса»</w:t>
            </w:r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Style w:val="Style14"/>
                <w:color w:val="auto"/>
                <w:sz w:val="20"/>
                <w:szCs w:val="20"/>
                <w:u w:val="none"/>
              </w:rPr>
            </w:pPr>
            <w:r>
              <w:rPr>
                <w:rStyle w:val="Style14"/>
                <w:color w:val="auto"/>
                <w:sz w:val="20"/>
                <w:szCs w:val="20"/>
                <w:u w:val="none"/>
              </w:rPr>
              <w:t>Постановление Правительства Российской Федерации от 20 октября 2016 г. № 1067 «Правила осуществления Федеральной службой войск национальной гвардии Российской Федерации и ее территориальными органами федерального государственного контроля (надзора) за обеспечением безопасности объектов топливно-энергетического комплекса»</w:t>
            </w:r>
          </w:p>
        </w:tc>
      </w:tr>
      <w:tr>
        <w:trPr/>
        <w:tc>
          <w:tcPr>
            <w:tcW w:w="10915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НОРМАТИВНЫЕ ПРАВОВЫЕ АКТЫ ФЕДЕРАЛЬНЫХ ОРГАНОВ ИСПОЛНИТЕЛЬНОЙ ВЛАСТИ И НОРМАТИВНЫЕ ДОКУМЕНТЫ ФЕДЕРАЛЬНЫХ ОРГАНОВ ИСПОЛНИТЕЛЬНОЙ ВЛАСТИ</w:t>
            </w:r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Style w:val="Style14"/>
                <w:color w:val="auto"/>
                <w:sz w:val="20"/>
                <w:szCs w:val="20"/>
                <w:u w:val="none"/>
              </w:rPr>
            </w:pPr>
            <w:r>
              <w:rPr>
                <w:rStyle w:val="Style14"/>
                <w:color w:val="auto"/>
                <w:sz w:val="20"/>
                <w:szCs w:val="20"/>
                <w:u w:val="none"/>
              </w:rPr>
              <w:t>Приказ Минэнерго России от 13 декабря 2011 г. № 587 «Перечень работ, непосредственно связанных с обеспечением безопасности объектов топливно-энергетического комплекса»</w:t>
            </w:r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auto"/>
                <w:sz w:val="20"/>
                <w:szCs w:val="20"/>
                <w:u w:val="none"/>
              </w:rPr>
            </w:pPr>
            <w:hyperlink r:id="rId4">
              <w:r>
                <w:rPr>
                  <w:color w:val="auto"/>
                  <w:sz w:val="20"/>
                  <w:szCs w:val="20"/>
                  <w:u w:val="none"/>
                </w:rPr>
                <w:t>Приказ Минэнерго России от 10 февраля 2012 г. № 48 «Методические рекомендации по включению объектов топливно-энергетического комплекса в перечень объектов, подлежащих категорированию»</w:t>
              </w:r>
            </w:hyperlink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Style w:val="Style14"/>
                <w:color w:val="auto"/>
                <w:sz w:val="20"/>
                <w:szCs w:val="20"/>
                <w:u w:val="none"/>
              </w:rPr>
            </w:pPr>
            <w:r>
              <w:rPr>
                <w:rStyle w:val="Style14"/>
                <w:color w:val="auto"/>
                <w:sz w:val="20"/>
                <w:szCs w:val="20"/>
                <w:u w:val="none"/>
              </w:rPr>
              <w:t>Приказ Минэнерго России от 13 июня 2012 г. № 295 «Форма реестра объектов топливно-энергетического комплекса и форма уведомления органа исполнительной власти субъекта Российской Федерации о включении объекта топливно-энергетического комплекса в реестр объектов топливно-энергетического комплекса (изменении сведений об объекте, содержащихся в реестре объектов топливно-энергетического комплекса, исключении объекта из реестра объектов топливно-энергетического комплекса)»</w:t>
            </w:r>
          </w:p>
        </w:tc>
      </w:tr>
      <w:tr>
        <w:trPr/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right="-54" w:hang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sz w:val="20"/>
                <w:szCs w:val="20"/>
              </w:rPr>
              <w:t>Приказ Росгвардии от 26 ноября 2020 г. № 466 «Административный регламент Федеральной службой войск национальной гвардии Российской Федерации по осуществлению федерального государственного контроля (надзора) за обеспечением безопасности объектов топливно-энергетического комплекса»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iCs/>
          <w:sz w:val="20"/>
          <w:szCs w:val="20"/>
        </w:rPr>
        <w:t>Примечание. Обязательные требования, соблюдение которых оценивается при проведении мероприятий по контролю при осуществлении федерального государственного контроля (надзора) за обеспечением безопасности объектов топливно-энергетического комплекса, могут быть также установлены иными нормативными документами (актами).</w:t>
      </w:r>
    </w:p>
    <w:sectPr>
      <w:type w:val="nextPage"/>
      <w:pgSz w:w="11906" w:h="16838"/>
      <w:pgMar w:left="1701" w:right="1134" w:header="0" w:top="426" w:footer="0" w:bottom="28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PT Astra Serif"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ce449e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e41932"/>
    <w:pPr>
      <w:spacing w:before="0" w:after="200"/>
      <w:ind w:left="720" w:hanging="0"/>
      <w:contextualSpacing/>
    </w:pPr>
    <w:rPr/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rosgvard.ru/uploads/2018/03/2-postanovlenie-pravitelstva-rf-ot-05052012-n-459.docx" TargetMode="External"/><Relationship Id="rId3" Type="http://schemas.openxmlformats.org/officeDocument/2006/relationships/hyperlink" Target="http://rosgvard.ru/uploads/2018/03/5-postanovlenie-pravitelstva-rf-ot-18112013-n-1033.docx" TargetMode="External"/><Relationship Id="rId4" Type="http://schemas.openxmlformats.org/officeDocument/2006/relationships/hyperlink" Target="http://rosgvard.ru/uploads/2018/03/2-prikaz-minenergo-rossii-ot-10022012-n-48.docx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LibreOffice/7.0.4.2$Linux_X86_64 LibreOffice_project/dcf040e67528d9187c66b2379df5ea4407429775</Application>
  <AppVersion>15.0000</AppVersion>
  <DocSecurity>0</DocSecurity>
  <Pages>1</Pages>
  <Words>431</Words>
  <Characters>3367</Characters>
  <CharactersWithSpaces>3768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2019-04-11T05:28:00Z</dcterms:created>
  <dc:creator>ЛРР1</dc:creator>
  <dc:description/>
  <dc:language>ru-RU</dc:language>
  <cp:lastModifiedBy/>
  <cp:lastPrinted>2019-08-21T00:09:00Z</cp:lastPrinted>
  <dcterms:modified xsi:type="dcterms:W3CDTF">2021-04-20T14:59:03Z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